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t>UNCLASSIFIED</w:t>
      </w:r>
    </w:p>
    <w:p>
      <w:pPr>
        <w:pStyle w:val="Title"/>
      </w:pPr>
      <w:r>
        <w:t>Space Watch</w:t>
      </w:r>
    </w:p>
    <w:p>
      <w:r>
        <w:t>2026-W40 · Makani Lab · Space Watch · eight USSF mission areas + the enterprise</w:t>
      </w:r>
    </w:p>
    <w:p>
      <w:r>
        <w:rPr>
          <w:b/>
        </w:rPr>
        <w:t xml:space="preserve">BLUF — </w:t>
      </w:r>
      <w:r>
        <w:t>DPRK fired a missile on 3 Oct that KCNA called a hypersonic intermediate-range strategic missile; ROK JCS said it flew over 700 km. The Space Force retired the last DSP satellites, so SBIRS alone carries GEO missile warning until Next-Gen OPIR. SDA launches 21 more PWSA transport satellites on 5 Oct. Attention item: DPRK tempo, the second hypersonic-class launch in two weeks.</w:t>
      </w:r>
    </w:p>
    <w:p>
      <w:pPr>
        <w:pStyle w:val="Heading1"/>
      </w:pPr>
      <w:r>
        <w:t>Counterspace spotlight: Yaogan / PLA ISR constellations</w:t>
      </w:r>
    </w:p>
    <w:p>
      <w:r>
        <w:t>Attribution: PRC (PLA). Also known as: Yaogan ('remote sensing') EO/SAR/ELINT triplets, Jilin-1 commercial.</w:t>
      </w:r>
    </w:p>
    <w:p>
      <w:r>
        <w:t>SpaceNews reports Yaogan-40 and Guowang launches closing September ahead of a busy PRC Q4 manifest. Launch Library logs nine Yaogan satellites launched in September.</w:t>
      </w:r>
    </w:p>
    <w:p>
      <w:r>
        <w:rPr>
          <w:b/>
        </w:rPr>
        <w:t>Capabilities / TTPs:</w:t>
      </w:r>
    </w:p>
    <w:p>
      <w:pPr>
        <w:pStyle w:val="ListBullet"/>
      </w:pPr>
      <w:r>
        <w:t>Yaogan-40 triplets, officially for 'electromagnetic environment probing' (Launch Library)</w:t>
      </w:r>
    </w:p>
    <w:p>
      <w:pPr>
        <w:pStyle w:val="ListBullet"/>
      </w:pPr>
      <w:r>
        <w:t>Multi-satellite groups on LM-4B and LM-6A; Yaogan 53/56 put six satellites up on one launch</w:t>
      </w:r>
    </w:p>
    <w:p>
      <w:pPr>
        <w:pStyle w:val="ListBullet"/>
      </w:pPr>
      <w:r>
        <w:t>EO, SAR and ELINT families that feed PLA long-range targeting (taxonomy assessment)</w:t>
      </w:r>
    </w:p>
    <w:p>
      <w:r>
        <w:rPr>
          <w:b/>
        </w:rPr>
        <w:t>Recent activity:</w:t>
      </w:r>
    </w:p>
    <w:p>
      <w:pPr>
        <w:pStyle w:val="ListBullet"/>
      </w:pPr>
      <w:r>
        <w:t>Yaogan 53/56: six satellites on LM-4B, 10 Sep (Launch Library)</w:t>
      </w:r>
    </w:p>
    <w:p>
      <w:pPr>
        <w:pStyle w:val="ListBullet"/>
      </w:pPr>
      <w:r>
        <w:t>Yaogan-40 Group 04: three satellites on LM-6A from Taiyuan, 24 Sep (Launch Library)</w:t>
      </w:r>
    </w:p>
    <w:p>
      <w:pPr>
        <w:pStyle w:val="ListBullet"/>
      </w:pPr>
      <w:r>
        <w:t>SpaceNews, 1 Oct: Guowang and Yaogan-40 launches close September; busy Q4 manifest</w:t>
      </w:r>
    </w:p>
    <w:p>
      <w:r>
        <w:rPr>
          <w:b/>
        </w:rPr>
        <w:t>Implications for the theater:</w:t>
      </w:r>
    </w:p>
    <w:p>
      <w:pPr>
        <w:pStyle w:val="ListBullet"/>
      </w:pPr>
      <w:r>
        <w:t>More Yaogan revisits shorten the windows in which forces can move unobserved in the Western Pacific.</w:t>
      </w:r>
    </w:p>
    <w:p>
      <w:pPr>
        <w:pStyle w:val="ListBullet"/>
      </w:pPr>
      <w:r>
        <w:t>Each new group needs 18 SDS custody and pass products before it can inform theater counter-ISR plans.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467"/>
        <w:gridCol w:w="3467"/>
        <w:gridCol w:w="3467"/>
      </w:tblGrid>
      <w:tr>
        <w:tc>
          <w:tcPr>
            <w:tcW w:type="dxa" w:w="3467"/>
          </w:tcPr>
          <w:p>
            <w:r>
              <w:t>Last 7d by mission area: Orbital Warfare 16, SATCOM 24, Space Domain Awareness 20, PNT / Navwar 9, Satellite Control 4, Missile Warning 30, ISR 18, Electronic Warfare 4, Space Enterprise 178</w:t>
            </w:r>
          </w:p>
        </w:tc>
        <w:tc>
          <w:tcPr>
            <w:tcW w:type="dxa" w:w="3467"/>
          </w:tcPr>
          <w:p>
            <w:r>
              <w:t>Rising: SpaceX (49, +33.8), commercial (47, +26.9), Space Force (54, +26.6), contract (38, +21), AI (25, +13.7)</w:t>
            </w:r>
          </w:p>
        </w:tc>
        <w:tc>
          <w:tcPr>
            <w:tcW w:type="dxa" w:w="3467"/>
          </w:tcPr>
          <w:p>
            <w:r>
              <w:t>Launches 4 (0 PRC, 4 US); max Kp 5; NANUs 2; reentries 15; conjunctions &lt;1 km 7783; Space-Track emergency-reportable CDMs 22, TIP reentries 22 (0 high-interest)</w:t>
            </w:r>
          </w:p>
        </w:tc>
      </w:tr>
    </w:tbl>
    <w:p>
      <w:pPr>
        <w:pStyle w:val="Heading1"/>
      </w:pPr>
      <w:r>
        <w:t>SATCOM</w:t>
      </w:r>
    </w:p>
    <w:p>
      <w:pPr>
        <w:pStyle w:val="ListBullet"/>
      </w:pPr>
      <w:r>
        <w:rPr>
          <w:b/>
        </w:rPr>
        <w:t xml:space="preserve">Space Force laying groundwork to connect future satellite ‘enclaves’ as it prepares for additional launches. </w:t>
      </w:r>
      <w:r>
        <w:t>SDA launches 21 Northrop Grumman T1 Transport Layer satellites on 5 Oct, taking PWSA to 84 in four planes (DefenseScoop); Tranche 0 is being deorbited (Inside Defense).</w:t>
      </w:r>
      <w:r>
        <w:rPr>
          <w:b/>
        </w:rPr>
        <w:t xml:space="preserve"> So what: </w:t>
      </w:r>
      <w:r>
        <w:t>Each new plane adds regional data-transport coverage for the theater.</w:t>
      </w:r>
      <w:r>
        <w:rPr>
          <w:b/>
        </w:rPr>
        <w:t xml:space="preserve"> Consider: </w:t>
      </w:r>
      <w:r>
        <w:t>Consider tracking T1TL checkout and when SDA declares an operational capability date.</w:t>
      </w:r>
      <w:r>
        <w:rPr>
          <w:color w:val="777777"/>
          <w:sz w:val="16"/>
        </w:rPr>
        <w:t xml:space="preserve"> [DefenseScoop, 2026-10-02]</w:t>
      </w:r>
    </w:p>
    <w:p>
      <w:pPr>
        <w:pStyle w:val="Heading1"/>
      </w:pPr>
      <w:r>
        <w:t>Satellite Control</w:t>
      </w:r>
    </w:p>
    <w:p>
      <w:pPr>
        <w:pStyle w:val="ListBullet"/>
      </w:pPr>
      <w:r>
        <w:rPr>
          <w:b/>
        </w:rPr>
        <w:t xml:space="preserve">Space Force Interested in Commercial Antennas to Control Satellites. </w:t>
      </w:r>
      <w:r>
        <w:t>Space Force and MDA reset the SCAR program as a Commercial Solutions Opening for government-owned, leased or antenna-as-a-service options to relieve the 19-antenna SCN. White papers are due 15 Oct (Air &amp; Space Forces).</w:t>
      </w:r>
      <w:r>
        <w:rPr>
          <w:b/>
        </w:rPr>
        <w:t xml:space="preserve"> So what: </w:t>
      </w:r>
      <w:r>
        <w:t>SCN capacity limits how often theater-relevant satellites can be contacted and commanded.</w:t>
      </w:r>
      <w:r>
        <w:rPr>
          <w:b/>
        </w:rPr>
        <w:t xml:space="preserve"> Consider: </w:t>
      </w:r>
      <w:r>
        <w:t>Be aware commercial antenna leasing brings the cyber and multi-tenant risks the notice names.</w:t>
      </w:r>
      <w:r>
        <w:rPr>
          <w:color w:val="777777"/>
          <w:sz w:val="16"/>
        </w:rPr>
        <w:t xml:space="preserve"> [Air &amp; Space Forces Magazine, 2026-09-28]</w:t>
      </w:r>
    </w:p>
    <w:p>
      <w:pPr>
        <w:pStyle w:val="Heading1"/>
      </w:pPr>
      <w:r>
        <w:t>Missile Warning</w:t>
      </w:r>
    </w:p>
    <w:p>
      <w:pPr>
        <w:pStyle w:val="ListBullet"/>
      </w:pPr>
      <w:r>
        <w:rPr>
          <w:b/>
        </w:rPr>
        <w:t xml:space="preserve">(LEAD) N. Korea's Kim oversees hypersonic missile launch, calls for bolstering war deterrent. </w:t>
      </w:r>
      <w:r>
        <w:t>DPRK fired a ballistic missile into the East Sea on 3 Oct KST; ROK JCS said it flew over 700 km. KCNA called it a hypersonic intermediate-range missile drill (Yonhap).</w:t>
      </w:r>
      <w:r>
        <w:rPr>
          <w:b/>
        </w:rPr>
        <w:t xml:space="preserve"> So what: </w:t>
      </w:r>
      <w:r>
        <w:t>Second hypersonic-class DPRK shot in two weeks for the space layer to detect and track.</w:t>
      </w:r>
      <w:r>
        <w:rPr>
          <w:b/>
        </w:rPr>
        <w:t xml:space="preserve"> Consider: </w:t>
      </w:r>
      <w:r>
        <w:t>Consider reviewing how MW/MT data from the 3 Oct launch reached theater users.</w:t>
      </w:r>
      <w:r>
        <w:rPr>
          <w:color w:val="777777"/>
          <w:sz w:val="16"/>
        </w:rPr>
        <w:t xml:space="preserve"> [Yonhap News (English), 2026-10-03]</w:t>
      </w:r>
    </w:p>
    <w:p>
      <w:pPr>
        <w:pStyle w:val="ListBullet"/>
      </w:pPr>
      <w:r>
        <w:rPr>
          <w:b/>
        </w:rPr>
        <w:t xml:space="preserve">Space Force Sunsets 1970s-Era Missile Warning Satellite Constellation. </w:t>
      </w:r>
      <w:r>
        <w:t>The last two DSP satellites went to graveyard orbit after a September USSPACECOM exercise; SBIRS carries GEO missile warning until Next-Gen OPIR (Air &amp; Space Forces).</w:t>
      </w:r>
      <w:r>
        <w:rPr>
          <w:b/>
        </w:rPr>
        <w:t xml:space="preserve"> So what: </w:t>
      </w:r>
      <w:r>
        <w:t>Theater missile warning now rests on SBIRS alone until the first Next-Gen OPIR GEO reaches orbit.</w:t>
      </w:r>
      <w:r>
        <w:rPr>
          <w:b/>
        </w:rPr>
        <w:t xml:space="preserve"> Consider: </w:t>
      </w:r>
      <w:r>
        <w:t>Be aware the DSP retirement may change assumptions in older MW plans and checklists.</w:t>
      </w:r>
      <w:r>
        <w:rPr>
          <w:color w:val="777777"/>
          <w:sz w:val="16"/>
        </w:rPr>
        <w:t xml:space="preserve"> [Air &amp; Space Forces Magazine, 2026-10-01]</w:t>
      </w:r>
    </w:p>
    <w:p>
      <w:pPr>
        <w:pStyle w:val="Heading1"/>
      </w:pPr>
      <w:r>
        <w:t>ISR</w:t>
      </w:r>
    </w:p>
    <w:p>
      <w:pPr>
        <w:pStyle w:val="ListBullet"/>
      </w:pPr>
      <w:r>
        <w:rPr>
          <w:b/>
        </w:rPr>
        <w:t xml:space="preserve">China launches Guowang, Yaogan-40 satellites, sets up busy Q4 manifest. </w:t>
      </w:r>
      <w:r>
        <w:t>SpaceNews reports China's ninth and tenth September launches carried Guowang and Yaogan-40 satellites ahead of a busy Q4 manifest. Launch Library logs Yaogan-40 Group 04 (three satellites) from Taiyuan on 24 Sep.</w:t>
      </w:r>
      <w:r>
        <w:rPr>
          <w:b/>
        </w:rPr>
        <w:t xml:space="preserve"> So what: </w:t>
      </w:r>
      <w:r>
        <w:t>More Yaogan groups add PLA revisit over U.S. and allied forces in the Western Pacific.</w:t>
      </w:r>
      <w:r>
        <w:rPr>
          <w:b/>
        </w:rPr>
        <w:t xml:space="preserve"> Consider: </w:t>
      </w:r>
      <w:r>
        <w:t>Consider asking 18 SDS for custody and overflight data on the new Yaogan-40 group.</w:t>
      </w:r>
      <w:r>
        <w:rPr>
          <w:color w:val="777777"/>
          <w:sz w:val="16"/>
        </w:rPr>
        <w:t xml:space="preserve"> [SpaceNews, 2026-10-01]</w:t>
      </w:r>
    </w:p>
    <w:p>
      <w:pPr>
        <w:pStyle w:val="Heading1"/>
      </w:pPr>
      <w:r>
        <w:t>Space Enterprise</w:t>
      </w:r>
    </w:p>
    <w:p>
      <w:pPr>
        <w:pStyle w:val="ListBullet"/>
      </w:pPr>
      <w:r>
        <w:rPr>
          <w:b/>
        </w:rPr>
        <w:t xml:space="preserve">Trump taps Miller to head U.S. Space Command. </w:t>
      </w:r>
      <w:r>
        <w:t>The President nominated Lt. Gen. David Miller Jr., the DCSO for strategy, plans, programs and requirements and a former SpOC commander, to lead USSPACECOM and succeed Gen. Whiting (DefenseScoop).</w:t>
      </w:r>
      <w:r>
        <w:rPr>
          <w:b/>
        </w:rPr>
        <w:t xml:space="preserve"> So what: </w:t>
      </w:r>
      <w:r>
        <w:t>A new USSPACECOM commander will set space-control priorities that flow to the component.</w:t>
      </w:r>
      <w:r>
        <w:rPr>
          <w:b/>
        </w:rPr>
        <w:t xml:space="preserve"> Consider: </w:t>
      </w:r>
      <w:r>
        <w:t>Be aware of the confirmation timeline; Whiting is expected to retire by January 2027.</w:t>
      </w:r>
      <w:r>
        <w:rPr>
          <w:color w:val="777777"/>
          <w:sz w:val="16"/>
        </w:rPr>
        <w:t xml:space="preserve"> [DefenseScoop, 2026-09-30]</w:t>
      </w:r>
    </w:p>
    <w:p>
      <w:pPr>
        <w:pStyle w:val="ListBullet"/>
      </w:pPr>
      <w:r>
        <w:rPr>
          <w:b/>
        </w:rPr>
        <w:t xml:space="preserve">Partner to Win: Space forces Japan Integrates Regional Space Advisors to Deepen Japanese Partnership. </w:t>
      </w:r>
      <w:r>
        <w:t>U.S. Space Forces-Japan at Yokota AB has integrated Regional Space Advisors into its daily operations to deepen cooperation with Japan (USINDOPACOM).</w:t>
      </w:r>
      <w:r>
        <w:rPr>
          <w:b/>
        </w:rPr>
        <w:t xml:space="preserve"> So what: </w:t>
      </w:r>
      <w:r>
        <w:t>This is a working model for the combined space integration that SPACEPAC pursues with partners.</w:t>
      </w:r>
      <w:r>
        <w:rPr>
          <w:b/>
        </w:rPr>
        <w:t xml:space="preserve"> Consider: </w:t>
      </w:r>
      <w:r>
        <w:t>Consider reviewing the SPACEFOR-J RSA model for other SPACEPAC partner lines.</w:t>
      </w:r>
      <w:r>
        <w:rPr>
          <w:color w:val="777777"/>
          <w:sz w:val="16"/>
        </w:rPr>
        <w:t xml:space="preserve"> [U.S. Indo-Pacific Command, 2026-10-02]</w:t>
      </w:r>
    </w:p>
    <w:p>
      <w:pPr>
        <w:pStyle w:val="Heading1"/>
      </w:pPr>
      <w:r>
        <w:t>Watch list</w:t>
      </w:r>
    </w:p>
    <w:p>
      <w:pPr>
        <w:pStyle w:val="ListBullet"/>
      </w:pPr>
      <w:r>
        <w:t>5 Oct 0817Z: SDA T1 Transport Layer A (21 sats), Vandenberg; 7 Oct 0323Z: ROK Nuri with NeonSat-2 to 6.</w:t>
      </w:r>
    </w:p>
    <w:p>
      <w:pPr>
        <w:pStyle w:val="ListBullet"/>
      </w:pPr>
      <w:r>
        <w:t>9 Oct 1925Z: LM-12 from Wenchang, payload unknown. 6 Oct 0302Z: 18 SDS CDM COSMOS 2160 vs DIADEME 2.</w:t>
      </w:r>
    </w:p>
    <w:p>
      <w:pPr>
        <w:pStyle w:val="ListBullet"/>
      </w:pPr>
      <w:r>
        <w:t>GPS forecast outages (NANU): PRN07 6 Oct 1630Z-7 Oct 0030Z; PRN05 and PRN12 from 8 Oct 1530Z.</w:t>
      </w:r>
    </w:p>
    <w:p>
      <w:pPr>
        <w:pStyle w:val="Heading1"/>
      </w:pPr>
      <w:r>
        <w:t>Recommendations (for awareness)</w:t>
      </w:r>
    </w:p>
    <w:p>
      <w:pPr>
        <w:pStyle w:val="ListBullet"/>
      </w:pPr>
      <w:r>
        <w:t>Be aware DSP is retired; recommend reviewing MW sensor assumptions for the Korean Peninsula in current plans.</w:t>
      </w:r>
    </w:p>
    <w:p>
      <w:pPr>
        <w:pStyle w:val="ListBullet"/>
      </w:pPr>
      <w:r>
        <w:t>Consider requesting 18 SDS custody of the September Yaogan groups for theater counter-ISR planning.</w:t>
      </w:r>
    </w:p>
    <w:p>
      <w:pPr>
        <w:pStyle w:val="ListBullet"/>
      </w:pPr>
      <w:r>
        <w:t>Consider engaging SPACEFOR-J on its Regional Space Advisor model as a template for other partner lines.</w:t>
      </w:r>
    </w:p>
    <w:p>
      <w:pPr>
        <w:jc w:val="center"/>
      </w:pPr>
      <w:r>
        <w:t>UNCLASSIFIED · open-source reporting only</w:t>
      </w:r>
    </w:p>
    <w:sectPr w:rsidR="00FC693F" w:rsidRPr="0006063C" w:rsidSect="00034616">
      <w:pgSz w:w="12240" w:h="15840"/>
      <w:pgMar w:top="800" w:right="920" w:bottom="800" w:left="9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